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EE" w:rsidRPr="00C22DEE" w:rsidRDefault="00C22DEE" w:rsidP="00C22DEE">
      <w:pPr>
        <w:rPr>
          <w:rFonts w:ascii="Times New Roman" w:hAnsi="Times New Roman" w:cs="Times New Roman"/>
          <w:b/>
        </w:rPr>
      </w:pPr>
      <w:r w:rsidRPr="00C22DEE">
        <w:rPr>
          <w:rFonts w:ascii="Times New Roman" w:hAnsi="Times New Roman" w:cs="Times New Roman"/>
          <w:b/>
        </w:rPr>
        <w:t>Klasa 4</w:t>
      </w: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FFFFF" w:themeFill="background1"/>
        <w:tblCellMar>
          <w:top w:w="57" w:type="dxa"/>
          <w:bottom w:w="57" w:type="dxa"/>
        </w:tblCellMar>
        <w:tblLook w:val="00A0"/>
      </w:tblPr>
      <w:tblGrid>
        <w:gridCol w:w="3794"/>
        <w:gridCol w:w="4394"/>
        <w:gridCol w:w="3544"/>
        <w:gridCol w:w="2977"/>
      </w:tblGrid>
      <w:tr w:rsidR="00C22DEE" w:rsidRPr="00C22DEE" w:rsidTr="00F74711">
        <w:trPr>
          <w:trHeight w:val="20"/>
        </w:trPr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2DEE" w:rsidRPr="00C22DEE" w:rsidRDefault="00C22DEE" w:rsidP="00F74711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Zjawiska falowe</w:t>
            </w:r>
          </w:p>
        </w:tc>
      </w:tr>
      <w:tr w:rsidR="00C22DEE" w:rsidRPr="00C22DEE" w:rsidTr="00E540C4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22DEE" w:rsidRPr="00C22DEE" w:rsidTr="00F74711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posługuje się pojęciami: powierzchni falowej, promienia fali; rozróżnia fale płaskie, koliste i kuliste; wskazuje ich przykłady w otaczającej rzeczywistości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zjawisko odbicia od powierzchni płaskiej i od powierzchni sferycznej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zjawisko rozproszenia światła przy odbiciu od powierzchni chropowatej; wskazuje jego przykłady w otaczającej rzeczywistości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jakościowo zjawisko załamania światła na granicy dwóch ośrodków różniących się prędkością rozchodzenia się światła; wskazuje kierunek załamania; podaje przykłady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wykorzystania zjawiska załamania światła w praktyce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światło białe jako mieszaninę barw, ilustruje to rozszczepieniem światła w pryzmacie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ilustruje prostoliniowe rozchodzenie się światła w ośrodku jednorodnym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zasadę superpozycji fal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rozróżnia światło spolaryzowane i niespolaryzowane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8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demonstruje fale koliste i płaskie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88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bCs/>
                <w:color w:val="0D0D0D" w:themeColor="text1" w:themeTint="F2"/>
              </w:rPr>
              <w:t>demonstruje rozpraszanie się światła w ośrodku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;</w:t>
            </w:r>
          </w:p>
          <w:p w:rsidR="00C22DEE" w:rsidRPr="00C22DEE" w:rsidRDefault="00C22DEE" w:rsidP="00F74711">
            <w:pPr>
              <w:spacing w:line="288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przedstawia (ilustruje na schematycznym rysunku) i opisuje obserwacje, formułuje wnioski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88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zadania lub problemy z działu zjawiska falowe, wyodrębnia z tekstów i ilustracji informacje kluczowe, przedstawia je w różnych postaciach, wykonuje obliczenia i 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zapisuje wynik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>zgodnie z zasadami zaokrąglania, z zachowaniem liczby cyfr znaczących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, ilustruje i ustala odpowiedzi, czytelnie przedstawia odpowiedzi i rozwiązania</w:t>
            </w:r>
          </w:p>
          <w:p w:rsidR="00C22DEE" w:rsidRPr="00C22DEE" w:rsidRDefault="00C22DEE" w:rsidP="00F74711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opisuje rozchodzenie się fal na powierzchni wody i dźwięku w powietrzu na podstawie obrazu powierzchni falowych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stosuje prawo odbicia do wyjaśniania zjawisk i wykonywana obliczeń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opisuje zjawisko rozproszenia światła na niejednorodnościach ośrodka; wskazuje jego przykłady w otaczającej rzeczywistości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przykłady zjawisk optycznych w przyrodzie wynikających z rozpraszania światła: błękitny kolor nieba, czerwony kolor zachodzącego słońca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wskazuje i opisuje przykłady zjawisk związanych z załamaniem światła, np.: złudzenia optyczne, fatamorgana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zjawiska jednoczesnego odbicia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i załamania światła na granicy dwóch ośrodków różniących się prędkością rozchodzenia się światła; opisuje zjawisko całkowitego wewnętrznego odbicia; posługuje się pojęciem kąta granicznego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działanie światłowodu jako przykład wykorzystania zjawiska całkowitego wewnętrznego odbicia,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wskazuje jego zastosowania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rozszczepienie światła przez kroplę wody; opisuje widmo światła białego jako mieszaninę fal o różnych częstotliwościach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przykłady zjawisk optycznych w przyrodzie i atmosferze, powstających dzięki rozszczepieniu światła (tęcza, halo)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jakościowo dyfrakcję fali na szczelinie – związek pomiędzy dyfrakcją na szczelinie a szerokością szczeliny i długością fali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warunki, w jakich może zachodzić dyfrakcja fal, wskazuje jej przykłady w otaczającej rzeczywistości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zjawisko interferencji fal i przestrzenny obraz interferencji; podaje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warunki wzmocnienia oraz wygaszenia się fal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wskazuje przykłady zjawisk optycznych obserwowanych dzięki dyfrakcji i interferencji światła w przyrodzie (barwy niektórych organizmów żywych, baniek mydlanych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światło jako falę elektromagnetyczną poprzeczną ora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z polaryzację światła wynikającą z poprzecznego charakteru fali i działanie polaryzatora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analizuje efekt Dopplera dla fal na wodzie oraz dla fali dźwiękowej w przypadku, gdy źródło porusza się wolniej niż fala – gdy zbliża się do obserwatora i gdy oddala się od obserwatora; podaje przykłady występowania zjawiska Dopplera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stosuje wzór opisujący efekt Dopplera do obliczeń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analizuje efekt Dopplera dla fal w przypadku, gdy obserwator porusza się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znacznie wolniej niż fala – gdy zbliża się do źródła i gdy oddala się od źródła; podaje przykłady występowania tego zjawiska; omawia efekt Dopplera dla fal elektromagnetycznych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przykłady wykorzystania efektu Dopplera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  <w:w w:val="98"/>
              </w:rPr>
              <w:t>przeprowadza doświadczenia, korzystając z ich opisu: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demonstruje</w:t>
            </w: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rozproszenie fal przy odbiciu od powierzchni nieregularnej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demonstruje zjawisko załamania światła na granicy ośrodków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demonstruje odbicie i załamanie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obserwuje zjawisko dyfrakcji fal na wodzie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obserwuje interferencję fal dźwiękowych i interferencję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obserwuje interferencję światła na siatce dyfrakcyjnej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bCs/>
                <w:color w:val="0D0D0D" w:themeColor="text1" w:themeTint="F2"/>
              </w:rPr>
              <w:t>obserwuje wygaszanie światła po przejściu przez dwa polaryzatory ustawione prostopadle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5"/>
              </w:numPr>
              <w:tabs>
                <w:tab w:val="clear" w:pos="700"/>
              </w:tabs>
              <w:autoSpaceDE/>
              <w:autoSpaceDN/>
              <w:adjustRightInd/>
              <w:spacing w:line="264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problemy: z działu zjawiska falowe, posługuje się tablicami fizycznymi oraz kartą wybranych wzorów i stałych;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wykonuje obliczenia, posługując się kalkulatorem; ilustruje, ustala i/lub uzasadnia odpowiedzi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przedstawionych materiałów źródłowych dotyczących treści tego rozdziału, w szczególności: zjawiska załamania fal, historii falowej teorii fal elektromagnetycznych,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polaryzacji światła,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zjawisk optycznych, historii badań efektu Dopplera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wyjaśnia przyczyny zjawisk optycznych w przyrodzie wynikających z rozpraszania światła: błękitny kolor nieba, czerwony kolor zachodzącego Słońca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 wyniki obserwacji zjawiska załamania światła na granicy ośrodków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 przyczyny zjawisk związanych z załamaniem światła, np.: złudzenia optyczne, fatamorgana (miraże)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omawia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inne niż światłowód przykłady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wykorzystania zjawiska całkowitego wewnętrznego odbicia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(np. fal dźwiękowych)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drugą tęczę jako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przykład zjawiska optycznego powstającego dzięki rozszczepieniu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doświadczalnie obserwuje zjawisko dyfrakcji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omawia praktyczne znaczenie dyfrakcji światła i dyfrakcji dźwięku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stosuje zasadę superpozycji fal do wyjaśniania zjawisk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 wyniki obserwacji interferencji fal dźwiękowych i interferencji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 wyniki obserwacji interferencji światła na siatce dyfrakcyjnej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przykłady zjawisk optycznych obserwowanych dzięki dyfrakcji i interferencji światła: w przyrodzie (barwy niektórych organizmów żywych,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baniek mydlanych) 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 obserwację</w:t>
            </w: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wygaszania światła po przejściu przez dwa polaryzatory ustawione</w:t>
            </w: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prostopadle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interpretuje wzór opisujący efekt Dopplera; stosuje go do wyjaśniania zjawisk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złożone (typowe) zadania lub problemy z działu zjawiska falowe, w szczególności: 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opisem fal i zjawiskiem ich odbicia oraz rozpraszaniem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dotyczące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załamania fal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dotyczące odbicia i załamania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związane z opisem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tęczy i halo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dyfrakcją i 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interferencją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fal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 xml:space="preserve">dotyczące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polaryzacji światła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6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związane z 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efektem Dopplera;</w:t>
            </w:r>
          </w:p>
          <w:p w:rsidR="00C22DEE" w:rsidRPr="00C22DEE" w:rsidRDefault="00C22DEE" w:rsidP="00F74711">
            <w:pPr>
              <w:spacing w:line="276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materiałów źródłowych dotyczących treści tego rozdziału, w szczególności zjawiska odbicia fal (np. lustra weneckie, barwy ciał), 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prezentuje efekty własnej pracy, np. projekty dotyczące treści rozdziału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Zjawiska falowe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; planuje i modyfikuje przebieg wybranych doświadczeń domowych, formułuje i weryfikuje hipotezy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rozwiązuje złożone (nietypowe) zadania lub problemy dotyczące treści rozdziału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Zjawiska falowe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</w:p>
          <w:p w:rsidR="00C22DEE" w:rsidRPr="00C22DEE" w:rsidRDefault="00C22DEE" w:rsidP="00F74711">
            <w:pPr>
              <w:spacing w:line="276" w:lineRule="auto"/>
              <w:ind w:left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własny projekt związany z tematyką tego rozdziału; planuje i modyfikuje przebieg doświadczeń domowych, formułuje i weryfikuje hipotezy; projektuje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okulary polaryzacyjne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C22DEE" w:rsidRPr="00C22DEE" w:rsidRDefault="00C22DEE" w:rsidP="00F74711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22DEE" w:rsidRPr="00C22DEE" w:rsidTr="00F74711">
        <w:trPr>
          <w:trHeight w:val="20"/>
        </w:trPr>
        <w:tc>
          <w:tcPr>
            <w:tcW w:w="1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2DEE" w:rsidRPr="00C22DEE" w:rsidRDefault="00C22DEE" w:rsidP="00F74711">
            <w:pPr>
              <w:spacing w:line="276" w:lineRule="auto"/>
              <w:ind w:left="164" w:hanging="16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Fizyka jądrowa. </w:t>
            </w: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Gwiazdy i Wszechświat</w:t>
            </w:r>
          </w:p>
        </w:tc>
      </w:tr>
      <w:tr w:rsidR="00C22DEE" w:rsidRPr="00C22DEE" w:rsidTr="00E540C4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dopuszczająca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dostateczna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dobra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2DEE" w:rsidRPr="00C22DEE" w:rsidRDefault="00C22DEE" w:rsidP="00F74711">
            <w:pPr>
              <w:pStyle w:val="Tabelaglowka"/>
              <w:rPr>
                <w:rFonts w:ascii="Times New Roman" w:hAnsi="Times New Roman" w:cs="Times New Roman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</w:rPr>
              <w:t>Ocena bardzo dobra i celująca</w:t>
            </w:r>
          </w:p>
          <w:p w:rsidR="00C22DEE" w:rsidRPr="00C22DEE" w:rsidRDefault="00C22DEE" w:rsidP="00F74711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Uczeń sprostał wymaganiom na niższy stopień oraz potrafi:</w:t>
            </w:r>
          </w:p>
        </w:tc>
      </w:tr>
      <w:tr w:rsidR="00C22DEE" w:rsidRPr="00C22DEE" w:rsidTr="00F74711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  <w:w w:val="99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spacing w:val="-4"/>
                <w:w w:val="99"/>
                <w:lang w:eastAsia="en-US"/>
              </w:rPr>
              <w:t>posługuje się pojęciami: pierwiastek, jądro atomowe, izotop, proton, neutron i elektron do opisu składu materii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informuje, że w niezjonizowanym atomie liczba elektronów poruszających się wokół jądra jest równa liczbie protonów w jądrze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obserwuje wykrywanie promieniotwórczości różnych substancji; przedstawia wyniki obserwacji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odróżnia reakcje chemiczne od reakcji jądrowych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podaje przykłady wykorzystania reakcji rozszczepienia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warunki, w jakich może zachodzić reakcja termojądrowa przemiany wodoru w hel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reakcje termojądrowe przemiany wodoru w hel jako źródło energii Słońca oraz podaje warunki ich zachodzenia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podaje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przybliżony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wiek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wskazuje początkową masę gwiazdy jako czynnik warunkujący jej ewolucję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przybliżony wiek Wszechświata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/>
              <w:autoSpaceDN/>
              <w:adjustRightInd/>
              <w:spacing w:line="264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proste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zadania</w:t>
            </w:r>
            <w:r w:rsidRPr="00C22DE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lub problemy z działu 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jądrowa. Gwiazdy i Wszechświat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wyodrębnia z tekstów i ilustracji informacje kluczowe, przelicza jednostki, wykonuje obliczenia i 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zapisuje wynik zgodnie z zasadami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  <w:spacing w:val="-4"/>
              </w:rPr>
              <w:t>zaokrąglania, z zachowaniem liczby cyfr znaczących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, ustala odpowiedzi, czytelnie przedstawia odpowiedzi i rozwiązania</w:t>
            </w:r>
          </w:p>
          <w:p w:rsidR="00C22DEE" w:rsidRPr="00C22DEE" w:rsidRDefault="00C22DEE" w:rsidP="00F74711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lastRenderedPageBreak/>
              <w:t>opisuje skład jądra atomowego na podstawie liczb masowej i atomowej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się pojęciem sił przyciągania jądrowego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wyjaśnia, na czym polega promieniotwórczość naturalna; wymienia wybrane metody wykrywania promieniowania jądrowego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opisuje obserwacje związane z wykrywaniem promieniotwórczości różnych substancji; podaje przykłady substancji emitujących promieniowanie jądrowe w otaczającej rzeczywistości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wymienia właściwości promieniowania jądrowego; rozróżnia promieniowanie: alfa (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sym w:font="Symbol" w:char="F061"/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), beta (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sym w:font="Symbol" w:char="F062"/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) i gamma (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sym w:font="Symbol" w:char="F067"/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przykłady zastosowania zjawiska promieniotwórczości w technice i medycynie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odróżnia promieniowanie jonizujące od promieniowania niejonizującego; informuje, że promieniowanie jonizujące wpływa na materię oraz na organizmy żywe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podaje przykłady wykorzystywania promieniowania jądrowego w medycynie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posługuje się pojęciami jądra stabilnego i jądra niestabilnego; opisuje powstawanie promieniowania gamma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rozpady alfa (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sym w:font="Symbol" w:char="F061"/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) i beta (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sym w:font="Symbol" w:char="F062"/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); zapisuje reakcje jądrowe, stosując zasadę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zachowania liczby nukleonów i zasadę zachowania ładunku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rozpad izotopu promieniotwórczego; posługuje się pojęciem czasu połowicznego rozpadu, podaje przykłady zastosowania prawa połowicznego rozpadu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opisuje zależność liczby jąder lub masy izotopu promieniotwórczego od czasu, szkicuje wykres tej zależności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reakcję rozszczepienia jądra uranu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  <w:vertAlign w:val="superscript"/>
              </w:rPr>
              <w:t>235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U zachodzącą w wyniku pochłonięcia neutronu, uzupełnia zapis takiej reakcji; podaje warunki zajścia reakcji łańcuchowej; informuje, co to jest masa krytyczna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zasadę działania elektrowni jądrowej oraz wymienia korzyści i niebezpieczeństwa płynące z energetyki jądrowej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reakcję termojądrową przemiany wodoru w hel – reakcję syntezy termojądrowej – zachodzącą w gwiazdach; zapisuje i omawia reakcję termojądrową na przykładzie syntezy jąder trytu i deuteru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wymienia ograniczenia i perspektywy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wykorzystania energii termojądrowej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D0D0D" w:themeColor="text1" w:themeTint="F2"/>
                </w:rPr>
                <m:t>E=m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D0D0D" w:themeColor="text1" w:themeTint="F2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color w:val="0D0D0D" w:themeColor="text1" w:themeTint="F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D0D0D" w:themeColor="text1" w:themeTint="F2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D0D0D" w:themeColor="text1" w:themeTint="F2"/>
                    </w:rPr>
                    <m:t>2</m:t>
                  </m:r>
                </m:sup>
              </m:sSup>
            </m:oMath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posługuje się pojęciami energii wiązania i deficytu masy; oblicza te wielkości dla dowolnego izotopu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>stosuje zasadę zachowania energii do opisu reakcji jądrowych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opisuje, jak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Słońce będzie produkować energię, gdy wodór się skończy – reakcję przemiany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 helu w węgiel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elementy ewolucji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 (czerwony olbrzym, mgławica planetarna, biały karzeł)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opisuje elementy ewolucji gwiazd: najlżejszych, o masie podobnej do masy 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Słońca, oraz gwiazd masywniejszych od Słońca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; omawia supernowe i czarne dziury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Wielki Wybuch jako początek znanego nam Wszechświata; opisuje jakościowo rozszerzanie się Wszechświata – ucieczkę galaktyk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wymienia najważniejsze metody badania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kosmosu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81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typowe zadania lub problemy z działu 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jądrowa. Gwiazdy i Wszechświat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, wyodrębnia z tekstów i ilustracji informacje kluczowe; posługuje się tablicami fizycznymi oraz kartą wybranych wzorów i stałych; uzupełnia zapisy reakcji jądrowych; wykonuje obliczenia szacunkowe, posługuje się kalkulatorem, analizuje otrzymany wynik; ustala i/lub uzasadnia odpowiedzi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dokonuje syntezy wiedzy z rozdziału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Fizyka jądrowa. Gwiazdy i Wszechświat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; przedstawia najważniejsze pojęcia, zasady i zależności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2"/>
              </w:rPr>
              <w:t xml:space="preserve">posługuje się informacjami pochodzącymi z analizy przedstawionych materiałów źródłowych dotyczących treści tego rozdziału, w szczególności: historii odkryć kluczowych dla rozwoju fizyki jądrowej, historii badań promieniotwórczości naturalnej, energii jądrowej, reakcji jądrowych, równoważności masy-energii,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  <w:lang w:eastAsia="en-US"/>
              </w:rPr>
              <w:t>ewolucji gwiazd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prezentuje efekty własnej pracy, np.: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analizy wskazanego tekstu, wybranych obserwacji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omawia doświadczenie Rutherforda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wybrane metody wykrywania promieniowania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jądrowego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przykłady zastosowania zjawiska promieniotwórczości w technice i medycynie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wpływ promieniowania jonizującego na materię i na organizmy żywe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opisuje przykłady wykorzystania promieniowania jądrowego w medycynie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wykorzystuje do obliczeń wykres zależności liczby jąder izotopu promieniotwórczego od czasu 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promieniotwórczych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; stosuje ją do obliczeń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omawia budowę reaktora jądrowego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wyjaśnia, dlaczego żelazo jest pierwiastkiem granicznym w możliwościach pozyskiwania energii jądrowej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oblicza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energię wyzwoloną podczas reakcji jądrowych przez porównanie mas substratów i produktów reakcji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opisuje powstawanie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pierwiastków we Wszechświecie oraz ewolucję i dalsze losy Wszechświata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rozwiązuje złożone (typowe) zadania lub problemy z działu 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>Fizyka jądrowa. Gwiazdy i Wszechświat,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 ilustruje i/lub uzasadnia zależności, odpowiedzi lub stwierdzenia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posługuje się informacjami pochodzącymi z analizy materiałów źródłowych dotyczących treści tego rozdziału, 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C22DEE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 xml:space="preserve">ewolucji gwiazd,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historii badań dziejów Wszechświata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prezentuje efekty własnej pracy, np. analizy samodzielnie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wyszukanego tekstu, wybranych obserwacji, realizacji przedstawionego projektu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EE" w:rsidRPr="00C22DEE" w:rsidRDefault="00C22DEE" w:rsidP="00C22DEE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rozwiązuje złożone (nietypowe) zadania lub problemy dotyczące treści rozdziału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Fizyka jądrowa. </w:t>
            </w:r>
            <w:r w:rsidRPr="00C22DEE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Gwiazdy i Wszechświat</w:t>
            </w:r>
            <w:r w:rsidRPr="00C22DEE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, </w:t>
            </w: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>ilustruje i/lub uzasadnia zależności, odpowiedzi lub stwierdzenia; formułuje hipotezy</w:t>
            </w:r>
          </w:p>
          <w:p w:rsidR="00C22DEE" w:rsidRPr="00C22DEE" w:rsidRDefault="00C22DEE" w:rsidP="00C22DEE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DEE">
              <w:rPr>
                <w:rFonts w:ascii="Times New Roman" w:hAnsi="Times New Roman" w:cs="Times New Roman"/>
                <w:color w:val="0D0D0D" w:themeColor="text1" w:themeTint="F2"/>
              </w:rPr>
              <w:t xml:space="preserve">realizuje i prezentuje własny projekt związany z tematyką tego rozdziału; planuje i modyfikuje przebieg wskazanych obserwacji, formułuje i weryfikuje hipotezy </w:t>
            </w:r>
          </w:p>
          <w:p w:rsidR="00C22DEE" w:rsidRPr="00C22DEE" w:rsidRDefault="00C22DEE" w:rsidP="00F74711">
            <w:pPr>
              <w:pStyle w:val="Stopka"/>
              <w:tabs>
                <w:tab w:val="clear" w:pos="4513"/>
              </w:tabs>
              <w:spacing w:line="276" w:lineRule="auto"/>
              <w:ind w:left="164" w:hanging="16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C22DEE" w:rsidRPr="00C22DEE" w:rsidRDefault="00C22DEE" w:rsidP="00C22DEE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Fonts w:ascii="Times New Roman" w:hAnsi="Times New Roman" w:cs="Times New Roman"/>
          <w:color w:val="0D0D0D" w:themeColor="text1" w:themeTint="F2"/>
          <w:w w:val="105"/>
        </w:rPr>
      </w:pPr>
    </w:p>
    <w:p w:rsidR="00C22DEE" w:rsidRPr="00C22DEE" w:rsidRDefault="00C22DEE" w:rsidP="00C22DEE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22DEE" w:rsidRPr="00C22DEE" w:rsidRDefault="00C22DEE" w:rsidP="00C22DEE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22DEE" w:rsidRPr="00C22DEE" w:rsidRDefault="00C22DEE" w:rsidP="00C22DEE">
      <w:pPr>
        <w:pStyle w:val="Nagwek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22DEE">
        <w:rPr>
          <w:rFonts w:ascii="Times New Roman" w:hAnsi="Times New Roman" w:cs="Times New Roman"/>
          <w:b w:val="0"/>
          <w:color w:val="221F1F"/>
          <w:w w:val="105"/>
          <w:sz w:val="24"/>
          <w:szCs w:val="24"/>
        </w:rPr>
        <w:t xml:space="preserve">     </w:t>
      </w:r>
      <w:r w:rsidRPr="00C22DEE">
        <w:rPr>
          <w:rFonts w:ascii="Times New Roman" w:hAnsi="Times New Roman" w:cs="Times New Roman"/>
          <w:color w:val="00B0F0"/>
          <w:sz w:val="24"/>
          <w:szCs w:val="24"/>
        </w:rPr>
        <w:t>STOPIEŃ NIEDOSTATECZNY</w:t>
      </w:r>
    </w:p>
    <w:p w:rsidR="00C22DEE" w:rsidRPr="00C22DEE" w:rsidRDefault="00C22DEE" w:rsidP="00C22DEE">
      <w:pPr>
        <w:ind w:firstLine="426"/>
        <w:jc w:val="both"/>
        <w:rPr>
          <w:rFonts w:ascii="Times New Roman" w:hAnsi="Times New Roman" w:cs="Times New Roman"/>
        </w:rPr>
      </w:pPr>
      <w:r w:rsidRPr="00C22DEE">
        <w:rPr>
          <w:rFonts w:ascii="Times New Roman" w:hAnsi="Times New Roman" w:cs="Times New Roman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C22DEE" w:rsidRPr="00C22DEE" w:rsidRDefault="00C22DEE" w:rsidP="00C22DEE">
      <w:pPr>
        <w:pStyle w:val="Nagwek1"/>
        <w:kinsoku w:val="0"/>
        <w:overflowPunct w:val="0"/>
        <w:spacing w:before="114"/>
        <w:rPr>
          <w:rFonts w:ascii="Times New Roman" w:hAnsi="Times New Roman" w:cs="Times New Roman"/>
          <w:color w:val="221F1F"/>
          <w:w w:val="105"/>
          <w:sz w:val="24"/>
          <w:szCs w:val="24"/>
        </w:rPr>
      </w:pPr>
    </w:p>
    <w:p w:rsidR="00C22DEE" w:rsidRPr="00C22DEE" w:rsidRDefault="00C22DEE" w:rsidP="00C22DEE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4"/>
          <w:szCs w:val="24"/>
        </w:rPr>
      </w:pPr>
      <w:r w:rsidRPr="00C22DEE">
        <w:rPr>
          <w:rFonts w:ascii="Times New Roman" w:hAnsi="Times New Roman" w:cs="Times New Roman"/>
          <w:color w:val="221F1F"/>
          <w:w w:val="105"/>
          <w:sz w:val="24"/>
          <w:szCs w:val="24"/>
        </w:rPr>
        <w:t>Warunki i tryb uzyskiwania oceny wyższej niż przewidywana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z</w:t>
      </w:r>
      <w:r w:rsidRPr="00C22DEE">
        <w:rPr>
          <w:rFonts w:ascii="Times New Roman" w:hAnsi="Times New Roman" w:cs="Times New Roman"/>
          <w:sz w:val="24"/>
          <w:szCs w:val="24"/>
        </w:rPr>
        <w:t>godne z zapisami w statucie szkoły.</w:t>
      </w:r>
    </w:p>
    <w:p w:rsidR="00C22DEE" w:rsidRPr="00C22DEE" w:rsidRDefault="00C22DEE" w:rsidP="00C22DEE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C22DEE">
        <w:rPr>
          <w:rFonts w:ascii="Times New Roman" w:hAnsi="Times New Roman" w:cs="Times New Roman"/>
          <w:w w:val="105"/>
          <w:sz w:val="24"/>
          <w:szCs w:val="24"/>
        </w:rPr>
        <w:t>Szczegółowe warunki i sposób oceniania określa statut szkoły</w:t>
      </w:r>
    </w:p>
    <w:p w:rsidR="00C22DEE" w:rsidRPr="00C22DEE" w:rsidRDefault="00C22DEE" w:rsidP="00C22DEE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Zmodyfikowany </w:t>
      </w:r>
      <w:r w:rsidRPr="00C22DEE">
        <w:rPr>
          <w:rFonts w:ascii="Times New Roman" w:hAnsi="Times New Roman" w:cs="Times New Roman"/>
          <w:sz w:val="24"/>
          <w:szCs w:val="24"/>
        </w:rPr>
        <w:t xml:space="preserve"> „Przedmiotowy system oceniania – Odkryć fizykę zakres podstawowy klasa 3 – Nowa Era” autorstwa Teresy Szalewskiej</w:t>
      </w:r>
    </w:p>
    <w:p w:rsidR="00C22DEE" w:rsidRPr="00C22DEE" w:rsidRDefault="00C22DEE" w:rsidP="00C22DEE">
      <w:pPr>
        <w:pStyle w:val="Tekstpodstawowy"/>
        <w:spacing w:line="276" w:lineRule="auto"/>
        <w:ind w:firstLine="323"/>
        <w:rPr>
          <w:rFonts w:ascii="Times New Roman" w:hAnsi="Times New Roman" w:cs="Times New Roman"/>
          <w:sz w:val="24"/>
          <w:szCs w:val="24"/>
        </w:rPr>
      </w:pPr>
    </w:p>
    <w:p w:rsidR="00C22DEE" w:rsidRPr="00C22DEE" w:rsidRDefault="00C22DEE" w:rsidP="00C22DEE">
      <w:pPr>
        <w:rPr>
          <w:rFonts w:ascii="Times New Roman" w:hAnsi="Times New Roman" w:cs="Times New Roman"/>
        </w:rPr>
      </w:pPr>
    </w:p>
    <w:p w:rsidR="00C22DEE" w:rsidRPr="00C22DEE" w:rsidRDefault="00C22DEE" w:rsidP="00C22DEE">
      <w:pPr>
        <w:rPr>
          <w:rFonts w:ascii="Times New Roman" w:hAnsi="Times New Roman" w:cs="Times New Roman"/>
        </w:rPr>
      </w:pPr>
    </w:p>
    <w:p w:rsidR="00B5302B" w:rsidRPr="00C22DEE" w:rsidRDefault="00B5302B" w:rsidP="00C22DEE">
      <w:pPr>
        <w:rPr>
          <w:rFonts w:ascii="Times New Roman" w:hAnsi="Times New Roman" w:cs="Times New Roman"/>
        </w:rPr>
      </w:pPr>
    </w:p>
    <w:sectPr w:rsidR="00B5302B" w:rsidRPr="00C22DEE" w:rsidSect="00C22DEE">
      <w:headerReference w:type="default" r:id="rId8"/>
      <w:footerReference w:type="default" r:id="rId9"/>
      <w:type w:val="continuous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8F" w:rsidRDefault="006B2B8F" w:rsidP="004C41F6">
      <w:r>
        <w:separator/>
      </w:r>
    </w:p>
  </w:endnote>
  <w:endnote w:type="continuationSeparator" w:id="0">
    <w:p w:rsidR="006B2B8F" w:rsidRDefault="006B2B8F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Pr="00824C51" w:rsidRDefault="006B79F3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6B79F3" w:rsidRDefault="006B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8F" w:rsidRDefault="006B2B8F" w:rsidP="004C41F6">
      <w:r>
        <w:separator/>
      </w:r>
    </w:p>
  </w:footnote>
  <w:footnote w:type="continuationSeparator" w:id="0">
    <w:p w:rsidR="006B2B8F" w:rsidRDefault="006B2B8F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Default="00FE7587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<v:textbox inset="0,0,0,0">
            <w:txbxContent>
              <w:p w:rsidR="006B79F3" w:rsidRPr="00B26112" w:rsidRDefault="00FE7587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E540C4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10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6B79F3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6B79F3" w:rsidRPr="006B79F3" w:rsidRDefault="006B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677"/>
        </w:tabs>
        <w:ind w:left="657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E6F33"/>
    <w:rsid w:val="001227CD"/>
    <w:rsid w:val="001A4116"/>
    <w:rsid w:val="00276243"/>
    <w:rsid w:val="00325B71"/>
    <w:rsid w:val="00326AD8"/>
    <w:rsid w:val="00330D9D"/>
    <w:rsid w:val="003F3278"/>
    <w:rsid w:val="004A2F07"/>
    <w:rsid w:val="004C41F6"/>
    <w:rsid w:val="00531C14"/>
    <w:rsid w:val="005932CB"/>
    <w:rsid w:val="005F0D9F"/>
    <w:rsid w:val="006153A2"/>
    <w:rsid w:val="00643E59"/>
    <w:rsid w:val="00684BAB"/>
    <w:rsid w:val="006B2B8F"/>
    <w:rsid w:val="006B79F3"/>
    <w:rsid w:val="00721F97"/>
    <w:rsid w:val="008D4379"/>
    <w:rsid w:val="008F7789"/>
    <w:rsid w:val="00960D06"/>
    <w:rsid w:val="009A1AEE"/>
    <w:rsid w:val="009F276C"/>
    <w:rsid w:val="00A35E62"/>
    <w:rsid w:val="00B0753D"/>
    <w:rsid w:val="00B13884"/>
    <w:rsid w:val="00B5302B"/>
    <w:rsid w:val="00BB55D8"/>
    <w:rsid w:val="00BC05E8"/>
    <w:rsid w:val="00BE187C"/>
    <w:rsid w:val="00BF2C1A"/>
    <w:rsid w:val="00C22DEE"/>
    <w:rsid w:val="00C92CF0"/>
    <w:rsid w:val="00DB7079"/>
    <w:rsid w:val="00E540C4"/>
    <w:rsid w:val="00ED6BDC"/>
    <w:rsid w:val="00F90F47"/>
    <w:rsid w:val="00F93D84"/>
    <w:rsid w:val="00FB5D69"/>
    <w:rsid w:val="00FE3F3C"/>
    <w:rsid w:val="00FE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4BAB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4BAB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7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0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4BAB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4BAB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684B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684BAB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684BAB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B7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elaglowka">
    <w:name w:val="Tabela: glowka"/>
    <w:basedOn w:val="Normalny"/>
    <w:uiPriority w:val="99"/>
    <w:rsid w:val="006B79F3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6B79F3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02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F31A-02E5-4A5C-BE25-C2847DE4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2225</Words>
  <Characters>13356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3</cp:revision>
  <dcterms:created xsi:type="dcterms:W3CDTF">2022-09-06T17:09:00Z</dcterms:created>
  <dcterms:modified xsi:type="dcterms:W3CDTF">2022-09-06T17:09:00Z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